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49D6FB7E" w:rsidR="00E3207D" w:rsidRPr="00FB0D11" w:rsidRDefault="00DB6138" w:rsidP="001551DB">
            <w:pPr>
              <w:pStyle w:val="DocName"/>
              <w:rPr>
                <w:highlight w:val="green"/>
              </w:rPr>
            </w:pPr>
            <w:r w:rsidRPr="00735C1A">
              <w:t>SESIP Profile for Code Update Mechanism v0.0.0.1</w:t>
            </w:r>
            <w:r w:rsidR="001A5184">
              <w:t>2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7D061B90" w:rsidR="00E3207D" w:rsidRPr="00FB0D11" w:rsidRDefault="00DB6138" w:rsidP="001551DB">
            <w:pPr>
              <w:pStyle w:val="LeftHead"/>
              <w:rPr>
                <w:highlight w:val="green"/>
              </w:rPr>
            </w:pPr>
            <w:r>
              <w:t>GPS_SPE_026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016177E1" w:rsidR="00E3207D" w:rsidRPr="00FB0D11" w:rsidRDefault="001A5184" w:rsidP="001551DB">
            <w:pPr>
              <w:pStyle w:val="DocStage"/>
              <w:rPr>
                <w:highlight w:val="green"/>
              </w:rPr>
            </w:pPr>
            <w:r>
              <w:t>Public</w:t>
            </w:r>
            <w:r w:rsidR="000827F6" w:rsidRPr="00DB6138">
              <w:t xml:space="preserve"> Rev</w:t>
            </w:r>
            <w:r w:rsidR="000827F6" w:rsidRPr="00E458B3">
              <w:t>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0201A003" w:rsidR="00E3207D" w:rsidRPr="00FB0D11" w:rsidRDefault="00DB6138" w:rsidP="001551DB">
            <w:pPr>
              <w:pStyle w:val="LeftHead"/>
              <w:rPr>
                <w:highlight w:val="green"/>
              </w:rPr>
            </w:pPr>
            <w:r w:rsidRPr="00DB6138">
              <w:t>1</w:t>
            </w:r>
            <w:r w:rsidR="001A5184">
              <w:t>6</w:t>
            </w:r>
            <w:r w:rsidRPr="00DB6138">
              <w:t xml:space="preserve"> </w:t>
            </w:r>
            <w:r w:rsidR="001A5184">
              <w:t xml:space="preserve">September </w:t>
            </w:r>
            <w:r w:rsidRPr="00DB6138">
              <w:t>2024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622A20EC" w:rsidR="00E3207D" w:rsidRPr="00A0601A" w:rsidRDefault="00000000" w:rsidP="001551DB">
            <w:pPr>
              <w:pStyle w:val="LeftHead"/>
              <w:jc w:val="center"/>
            </w:pPr>
            <w:hyperlink r:id="rId8" w:history="1">
              <w:r w:rsidR="00DB6138" w:rsidRPr="00F77498">
                <w:rPr>
                  <w:rStyle w:val="Hyperlink"/>
                </w:rPr>
                <w:t>sesip-p-code-update-mech-review@globalplatform.org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r w:rsidRPr="00012E6D">
              <w:t>ge</w:t>
            </w:r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r>
              <w:t>te</w:t>
            </w:r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32E13" w14:textId="77777777" w:rsidR="007100BD" w:rsidRDefault="007100BD">
      <w:r>
        <w:separator/>
      </w:r>
    </w:p>
  </w:endnote>
  <w:endnote w:type="continuationSeparator" w:id="0">
    <w:p w14:paraId="72703C05" w14:textId="77777777" w:rsidR="007100BD" w:rsidRDefault="0071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B809" w14:textId="77777777" w:rsidR="007100BD" w:rsidRDefault="007100BD">
      <w:r>
        <w:separator/>
      </w:r>
    </w:p>
  </w:footnote>
  <w:footnote w:type="continuationSeparator" w:id="0">
    <w:p w14:paraId="1AAB8AD2" w14:textId="77777777" w:rsidR="007100BD" w:rsidRDefault="0071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0BE13FA1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1A5184">
            <w:t>SESIP Profile for Code Update Mechanism v0.0.0.12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1A5184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A5184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4F6E43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00BD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C5F97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E4902"/>
    <w:rsid w:val="00CF64C4"/>
    <w:rsid w:val="00CF742B"/>
    <w:rsid w:val="00D02F89"/>
    <w:rsid w:val="00D04136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77E5"/>
    <w:rsid w:val="00DB6138"/>
    <w:rsid w:val="00DB7510"/>
    <w:rsid w:val="00DD17EE"/>
    <w:rsid w:val="00DD3007"/>
    <w:rsid w:val="00DD6F05"/>
    <w:rsid w:val="00E11CF9"/>
    <w:rsid w:val="00E3207D"/>
    <w:rsid w:val="00E370E3"/>
    <w:rsid w:val="00E37E00"/>
    <w:rsid w:val="00E4267A"/>
    <w:rsid w:val="00E459AA"/>
    <w:rsid w:val="00E46AD3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E568E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ip-p-code-update-mech-review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 Carter 2</cp:lastModifiedBy>
  <cp:revision>14</cp:revision>
  <cp:lastPrinted>2018-06-27T05:18:00Z</cp:lastPrinted>
  <dcterms:created xsi:type="dcterms:W3CDTF">2024-01-15T19:55:00Z</dcterms:created>
  <dcterms:modified xsi:type="dcterms:W3CDTF">2024-08-02T16:08:00Z</dcterms:modified>
</cp:coreProperties>
</file>